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F06F06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F06F06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F06F0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F06F06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F06F06">
        <w:rPr>
          <w:rFonts w:ascii="Times New Roman" w:hAnsi="Times New Roman"/>
          <w:b/>
          <w:sz w:val="24"/>
          <w:szCs w:val="24"/>
        </w:rPr>
        <w:t>за 202</w:t>
      </w:r>
      <w:r w:rsidR="00500063" w:rsidRPr="00F06F06">
        <w:rPr>
          <w:rFonts w:ascii="Times New Roman" w:hAnsi="Times New Roman"/>
          <w:b/>
          <w:sz w:val="24"/>
          <w:szCs w:val="24"/>
        </w:rPr>
        <w:t>3</w:t>
      </w:r>
      <w:r w:rsidRPr="00F06F06">
        <w:rPr>
          <w:rFonts w:ascii="Times New Roman" w:hAnsi="Times New Roman"/>
          <w:b/>
          <w:sz w:val="24"/>
          <w:szCs w:val="24"/>
        </w:rPr>
        <w:t xml:space="preserve"> год</w:t>
      </w:r>
      <w:r w:rsidR="003451F7" w:rsidRPr="00F06F06">
        <w:rPr>
          <w:rFonts w:ascii="Times New Roman" w:hAnsi="Times New Roman"/>
          <w:b/>
          <w:sz w:val="24"/>
          <w:szCs w:val="24"/>
        </w:rPr>
        <w:t xml:space="preserve"> </w:t>
      </w:r>
    </w:p>
    <w:p w:rsidR="008B1ADC" w:rsidRPr="00F06F06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F06F06">
        <w:rPr>
          <w:rFonts w:ascii="Times New Roman" w:hAnsi="Times New Roman"/>
          <w:sz w:val="24"/>
          <w:szCs w:val="24"/>
        </w:rPr>
        <w:t>») по</w:t>
      </w:r>
      <w:r w:rsidRPr="00F06F06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F06F06">
        <w:rPr>
          <w:rFonts w:ascii="Times New Roman" w:hAnsi="Times New Roman"/>
          <w:sz w:val="24"/>
          <w:szCs w:val="24"/>
        </w:rPr>
        <w:t>в Тихвинском</w:t>
      </w:r>
      <w:r w:rsidRPr="00F06F06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F06F06">
        <w:rPr>
          <w:rFonts w:ascii="Times New Roman" w:hAnsi="Times New Roman"/>
          <w:sz w:val="24"/>
          <w:szCs w:val="24"/>
        </w:rPr>
        <w:t>Ленинградской области</w:t>
      </w:r>
      <w:r w:rsidRPr="00F06F06">
        <w:rPr>
          <w:rFonts w:ascii="Times New Roman" w:hAnsi="Times New Roman"/>
          <w:sz w:val="24"/>
          <w:szCs w:val="24"/>
        </w:rPr>
        <w:t xml:space="preserve"> на 20</w:t>
      </w:r>
      <w:r w:rsidR="00237FD0" w:rsidRPr="00F06F06">
        <w:rPr>
          <w:rFonts w:ascii="Times New Roman" w:hAnsi="Times New Roman"/>
          <w:sz w:val="24"/>
          <w:szCs w:val="24"/>
        </w:rPr>
        <w:t>22</w:t>
      </w:r>
      <w:r w:rsidRPr="00F06F06">
        <w:rPr>
          <w:rFonts w:ascii="Times New Roman" w:hAnsi="Times New Roman"/>
          <w:sz w:val="24"/>
          <w:szCs w:val="24"/>
        </w:rPr>
        <w:t>-202</w:t>
      </w:r>
      <w:r w:rsidR="00237FD0" w:rsidRPr="00F06F06">
        <w:rPr>
          <w:rFonts w:ascii="Times New Roman" w:hAnsi="Times New Roman"/>
          <w:sz w:val="24"/>
          <w:szCs w:val="24"/>
        </w:rPr>
        <w:t>5</w:t>
      </w:r>
      <w:r w:rsidRPr="00F06F06">
        <w:rPr>
          <w:rFonts w:ascii="Times New Roman" w:hAnsi="Times New Roman"/>
          <w:sz w:val="24"/>
          <w:szCs w:val="24"/>
        </w:rPr>
        <w:t xml:space="preserve"> годы)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F06F06">
        <w:rPr>
          <w:rFonts w:ascii="Times New Roman" w:hAnsi="Times New Roman"/>
          <w:b/>
          <w:sz w:val="24"/>
          <w:szCs w:val="24"/>
        </w:rPr>
        <w:t>услуг присмотра</w:t>
      </w:r>
      <w:r w:rsidRPr="00F06F06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</w:t>
      </w:r>
      <w:r w:rsidRPr="00F06F06">
        <w:rPr>
          <w:rFonts w:ascii="Times New Roman" w:hAnsi="Times New Roman"/>
          <w:color w:val="000000"/>
          <w:sz w:val="24"/>
          <w:szCs w:val="24"/>
        </w:rPr>
        <w:t>ё</w:t>
      </w:r>
      <w:r w:rsidRPr="00F06F06">
        <w:rPr>
          <w:rFonts w:ascii="Times New Roman" w:hAnsi="Times New Roman"/>
          <w:color w:val="000000"/>
          <w:sz w:val="24"/>
          <w:szCs w:val="24"/>
        </w:rPr>
        <w:t>жи». На реализацию мероприятий программ в 2023 году предусмотрено 1 833 830,</w:t>
      </w:r>
      <w:r w:rsidRPr="00F06F06">
        <w:rPr>
          <w:rFonts w:ascii="Times New Roman" w:hAnsi="Times New Roman"/>
          <w:sz w:val="24"/>
          <w:szCs w:val="24"/>
        </w:rPr>
        <w:t>8 тыс. рублей.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F06F06">
        <w:rPr>
          <w:rFonts w:ascii="Times New Roman" w:hAnsi="Times New Roman"/>
          <w:sz w:val="24"/>
          <w:szCs w:val="24"/>
        </w:rPr>
        <w:t>составляет 357 педагогов</w:t>
      </w:r>
      <w:r w:rsidRPr="00F06F06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Численность воспитанников на конец 2023 года составила 3121 детей.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F06F06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F06F06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</w:t>
      </w:r>
      <w:r w:rsidRPr="00F06F06">
        <w:rPr>
          <w:rFonts w:ascii="Times New Roman" w:hAnsi="Times New Roman"/>
          <w:color w:val="000000"/>
          <w:sz w:val="24"/>
          <w:szCs w:val="24"/>
        </w:rPr>
        <w:t>я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не име</w:t>
      </w:r>
      <w:r w:rsidRPr="00F06F06">
        <w:rPr>
          <w:rFonts w:ascii="Times New Roman" w:hAnsi="Times New Roman"/>
          <w:color w:val="000000"/>
          <w:sz w:val="24"/>
          <w:szCs w:val="24"/>
        </w:rPr>
        <w:t>е</w:t>
      </w:r>
      <w:r w:rsidRPr="00F06F06">
        <w:rPr>
          <w:rFonts w:ascii="Times New Roman" w:hAnsi="Times New Roman"/>
          <w:color w:val="000000"/>
          <w:sz w:val="24"/>
          <w:szCs w:val="24"/>
        </w:rPr>
        <w:t>т.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По итогам 2023 года конкуренции развитию рынка организаций частной формы собственности, оказывающих услуги присмотра и ухода за детьми нет.</w:t>
      </w:r>
    </w:p>
    <w:p w:rsidR="002A3A4F" w:rsidRPr="00F06F06" w:rsidRDefault="00500063" w:rsidP="00500063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F06F06">
        <w:rPr>
          <w:rFonts w:ascii="Times New Roman" w:hAnsi="Times New Roman"/>
          <w:sz w:val="24"/>
          <w:szCs w:val="24"/>
        </w:rPr>
        <w:t>.</w:t>
      </w:r>
      <w:r w:rsidR="002A3A4F" w:rsidRPr="00F06F06">
        <w:rPr>
          <w:rFonts w:ascii="Times New Roman" w:hAnsi="Times New Roman"/>
          <w:sz w:val="24"/>
          <w:szCs w:val="24"/>
        </w:rPr>
        <w:t xml:space="preserve"> 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В 2023 году летом функционировало </w:t>
      </w:r>
      <w:r w:rsidRPr="00F06F06">
        <w:rPr>
          <w:rFonts w:ascii="Times New Roman" w:hAnsi="Times New Roman"/>
          <w:sz w:val="24"/>
          <w:szCs w:val="24"/>
        </w:rPr>
        <w:t>32 лагеря с охватом 2121 человек.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было израсходовано: </w:t>
      </w:r>
      <w:r w:rsidRPr="00F06F06">
        <w:rPr>
          <w:rFonts w:ascii="Times New Roman" w:hAnsi="Times New Roman"/>
          <w:sz w:val="24"/>
          <w:szCs w:val="24"/>
        </w:rPr>
        <w:t xml:space="preserve">26 324,7 тыс. руб. в </w:t>
      </w:r>
      <w:r w:rsidRPr="00F06F06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</w:t>
      </w:r>
      <w:r w:rsidRPr="00F06F06">
        <w:rPr>
          <w:rFonts w:ascii="Times New Roman" w:hAnsi="Times New Roman"/>
          <w:color w:val="000000"/>
          <w:sz w:val="24"/>
          <w:szCs w:val="24"/>
        </w:rPr>
        <w:t>ё</w:t>
      </w:r>
      <w:r w:rsidRPr="00F06F06">
        <w:rPr>
          <w:rFonts w:ascii="Times New Roman" w:hAnsi="Times New Roman"/>
          <w:color w:val="000000"/>
          <w:sz w:val="24"/>
          <w:szCs w:val="24"/>
        </w:rPr>
        <w:t>жи».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</w:t>
      </w:r>
      <w:r w:rsidRPr="00F06F06">
        <w:rPr>
          <w:rFonts w:ascii="Times New Roman" w:hAnsi="Times New Roman"/>
          <w:color w:val="000000"/>
          <w:sz w:val="24"/>
          <w:szCs w:val="24"/>
        </w:rPr>
        <w:t>.</w:t>
      </w:r>
    </w:p>
    <w:p w:rsidR="00F53AAF" w:rsidRPr="00F06F06" w:rsidRDefault="00930C6A" w:rsidP="00930C6A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2E208C" w:rsidRPr="00F06F06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lastRenderedPageBreak/>
        <w:t xml:space="preserve">Рынок услуг </w:t>
      </w:r>
      <w:r w:rsidR="00160E8F" w:rsidRPr="00F06F06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F06F06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Система дополнительного образования представлена 3 учреждениями, подведомственными комитету по образованию администрации Тихвинского района. Охват детей дополнительным образованием по итогам 2023 года детей в возрасте с 5 до 18 лет составил – 8235 чел. (94,43%)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«Тихвинский центр детского творчества»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«Школа искусств кино и телевидения «Лантан»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«Детский оздоровительно-образовательный Центр «Огонёк»»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</w:t>
      </w:r>
      <w:r w:rsidRPr="00F06F06">
        <w:rPr>
          <w:rFonts w:ascii="Times New Roman" w:hAnsi="Times New Roman"/>
          <w:color w:val="000000"/>
          <w:sz w:val="24"/>
          <w:szCs w:val="24"/>
        </w:rPr>
        <w:t>о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следующее мероприяти</w:t>
      </w:r>
      <w:r w:rsidRPr="00F06F06">
        <w:rPr>
          <w:rFonts w:ascii="Times New Roman" w:hAnsi="Times New Roman"/>
          <w:color w:val="000000"/>
          <w:sz w:val="24"/>
          <w:szCs w:val="24"/>
        </w:rPr>
        <w:t>е</w:t>
      </w:r>
      <w:r w:rsidRPr="00F06F06">
        <w:rPr>
          <w:rFonts w:ascii="Times New Roman" w:hAnsi="Times New Roman"/>
          <w:color w:val="000000"/>
          <w:sz w:val="24"/>
          <w:szCs w:val="24"/>
        </w:rPr>
        <w:t>:</w:t>
      </w:r>
    </w:p>
    <w:p w:rsidR="009F53A4" w:rsidRPr="00F06F06" w:rsidRDefault="00EA647C" w:rsidP="00EA647C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F06F06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F06F0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F06F0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2023 году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 были проведены: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презентации туристических возможностей Тихвинского района на выставках,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выпуск новой сувенирной продукции с логотипом и элементами </w:t>
      </w:r>
      <w:proofErr w:type="spellStart"/>
      <w:r w:rsidRPr="00F06F06">
        <w:rPr>
          <w:rFonts w:ascii="Times New Roman" w:hAnsi="Times New Roman"/>
          <w:sz w:val="24"/>
          <w:szCs w:val="24"/>
        </w:rPr>
        <w:t>брендбука</w:t>
      </w:r>
      <w:proofErr w:type="spellEnd"/>
      <w:r w:rsidRPr="00F06F06">
        <w:rPr>
          <w:rFonts w:ascii="Times New Roman" w:hAnsi="Times New Roman"/>
          <w:sz w:val="24"/>
          <w:szCs w:val="24"/>
        </w:rPr>
        <w:t xml:space="preserve"> Тихвина,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-обновлена система туристской навигации города (информационные стрелки-указатели),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2024 год,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-завершена работа по установке интерактивной системы с применением технологии быстрого реагирования (QR-код), позволяющая гражданам в режиме онлайн получать информацию о персоналиях, исторических событиях и посвящённых им памятниках, и памятных знаках г. Тихвина.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В рамках празднования Дня города Тихвина работали 2 мобильных офиса информационно-туристского центра, их посетителями стали более 3500 человек, был представлен «Паспорт туриста» и проведено маркетинговое исследование о туристской привлекательности города среди его гостей.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профессиональном конкурсе туристской индустрии «Лучшие в туризме Ленинградской области» проект «Сафари парк «Междуречье» занял 3 место в номинации «Лучший проект по развитию внутреннего и въездного туризма» по направлению «Лучший проект в сфере гостеприимства». </w:t>
      </w:r>
    </w:p>
    <w:p w:rsidR="00120912" w:rsidRPr="00F06F06" w:rsidRDefault="004F2708" w:rsidP="004C7891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Проект «Гастрономический фестиваль-конкурс «Калитка» стал победителем V Всероссийского конкурса лучших практик в сфере национальных отношений в номинации «Лучшие практики органов государственной власти».</w:t>
      </w:r>
      <w:r w:rsidR="00120912" w:rsidRPr="00F06F06">
        <w:rPr>
          <w:rFonts w:ascii="Times New Roman" w:hAnsi="Times New Roman"/>
          <w:sz w:val="24"/>
          <w:szCs w:val="24"/>
        </w:rPr>
        <w:t xml:space="preserve"> </w:t>
      </w:r>
    </w:p>
    <w:p w:rsidR="00120912" w:rsidRPr="00F06F06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F06F06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F06F06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Рынок перевозки пассажиров автомобильным транспортом </w:t>
      </w:r>
    </w:p>
    <w:p w:rsidR="003E22F1" w:rsidRPr="00F06F06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F06F06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На территории Тихвинского района действуют 41 маршрут пассажирских перевозок, в том числе 16 городских и 25 пригородных. ООО «Пальмира» обслуживает 33 маршрута, 7 маршрутов НП «Агентство «Вепсский лес» и 1 маршрут ООО «АТП».</w:t>
      </w:r>
    </w:p>
    <w:p w:rsidR="00AD0BE7" w:rsidRPr="00F06F06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Автобусным транспортом обслуживается 92 сельских насел</w:t>
      </w:r>
      <w:r w:rsidRPr="00F06F06">
        <w:rPr>
          <w:rFonts w:ascii="Times New Roman" w:hAnsi="Times New Roman"/>
          <w:sz w:val="24"/>
          <w:szCs w:val="24"/>
        </w:rPr>
        <w:t>ё</w:t>
      </w:r>
      <w:r w:rsidRPr="00F06F06">
        <w:rPr>
          <w:rFonts w:ascii="Times New Roman" w:hAnsi="Times New Roman"/>
          <w:sz w:val="24"/>
          <w:szCs w:val="24"/>
        </w:rPr>
        <w:t>нных пункта. Общее количество автобусов, обслуживающих маршруты, - 60 единиц.</w:t>
      </w:r>
    </w:p>
    <w:p w:rsidR="00AD0BE7" w:rsidRPr="00F06F06" w:rsidRDefault="003A466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lastRenderedPageBreak/>
        <w:t>Исполнены муниципальные контракты на сумму 0,8 млн руб.</w:t>
      </w:r>
      <w:r w:rsidRPr="00F06F06">
        <w:rPr>
          <w:rFonts w:ascii="Times New Roman" w:hAnsi="Times New Roman"/>
          <w:b/>
          <w:sz w:val="24"/>
          <w:szCs w:val="24"/>
        </w:rPr>
        <w:t xml:space="preserve"> </w:t>
      </w:r>
      <w:r w:rsidRPr="00F06F06">
        <w:rPr>
          <w:rFonts w:ascii="Times New Roman" w:hAnsi="Times New Roman"/>
          <w:sz w:val="24"/>
          <w:szCs w:val="24"/>
        </w:rPr>
        <w:t>по выполнению работ: по устройству новой автобусной остановки в п. Красава, поставку, обслуживание и ремонт автобусных остановок.</w:t>
      </w:r>
    </w:p>
    <w:p w:rsidR="00C8708C" w:rsidRPr="00F06F0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C8708C" w:rsidRPr="00F06F06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F06F0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F06F06">
        <w:rPr>
          <w:rFonts w:ascii="Times New Roman" w:hAnsi="Times New Roman"/>
          <w:sz w:val="24"/>
          <w:szCs w:val="24"/>
        </w:rPr>
        <w:t>ались</w:t>
      </w:r>
      <w:r w:rsidRPr="00F06F06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F06F06">
        <w:rPr>
          <w:rFonts w:ascii="Times New Roman" w:hAnsi="Times New Roman"/>
          <w:sz w:val="24"/>
          <w:szCs w:val="24"/>
        </w:rPr>
        <w:t>ом</w:t>
      </w:r>
      <w:r w:rsidRPr="00F06F06">
        <w:rPr>
          <w:rFonts w:ascii="Times New Roman" w:hAnsi="Times New Roman"/>
          <w:sz w:val="24"/>
          <w:szCs w:val="24"/>
        </w:rPr>
        <w:t xml:space="preserve"> сайт</w:t>
      </w:r>
      <w:r w:rsidR="00EF2056" w:rsidRPr="00F06F06">
        <w:rPr>
          <w:rFonts w:ascii="Times New Roman" w:hAnsi="Times New Roman"/>
          <w:sz w:val="24"/>
          <w:szCs w:val="24"/>
        </w:rPr>
        <w:t>е</w:t>
      </w:r>
      <w:r w:rsidRPr="00F06F06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F06F06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F06F06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EF2056" w:rsidRPr="00F06F06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F06F06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F06F0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F06F0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F06F0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F06F06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F06F06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F06F06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F06F06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736695" w:rsidRPr="00F06F06" w:rsidRDefault="00736695" w:rsidP="00736695">
      <w:pPr>
        <w:ind w:left="284" w:right="33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В план региональной программы капремонта общего имущества в многоквартирных домах по Тихвинскому городскому поселению на 2023 год включены – 17 многоквартирных домов, выполнено 100 % проектно-изыскательских и строительно-монтажных работ по капитальному ремонту общего имущества (ПИР ЭС, крыша, лифт, СМР лифт, фасад, фундамент, ВО, ХВС, ЭС) на общую сумму 53,5 млн рублей.</w:t>
      </w:r>
    </w:p>
    <w:p w:rsidR="00736695" w:rsidRPr="00F06F06" w:rsidRDefault="00736695" w:rsidP="00736695">
      <w:pPr>
        <w:ind w:left="284" w:right="335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За счёт средств местного бюджета полностью выполнен капитальный ремонт кровли, трубы многоквартирного дома в посёлке </w:t>
      </w:r>
      <w:proofErr w:type="spellStart"/>
      <w:r w:rsidRPr="00F06F06">
        <w:rPr>
          <w:rFonts w:ascii="Times New Roman" w:hAnsi="Times New Roman"/>
          <w:sz w:val="24"/>
          <w:szCs w:val="24"/>
        </w:rPr>
        <w:t>Берёзовик</w:t>
      </w:r>
      <w:proofErr w:type="spellEnd"/>
      <w:r w:rsidRPr="00F06F06">
        <w:rPr>
          <w:rFonts w:ascii="Times New Roman" w:hAnsi="Times New Roman"/>
          <w:sz w:val="24"/>
          <w:szCs w:val="24"/>
        </w:rPr>
        <w:t>, ул. Суворовская на сумму 233 тыс. рублей.</w:t>
      </w:r>
    </w:p>
    <w:p w:rsidR="00D46E77" w:rsidRPr="00F06F06" w:rsidRDefault="00736695" w:rsidP="00736695">
      <w:pPr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2023 году выполнены работы в 4 домах в Шугозерском и </w:t>
      </w:r>
      <w:proofErr w:type="spellStart"/>
      <w:r w:rsidRPr="00F06F06">
        <w:rPr>
          <w:rFonts w:ascii="Times New Roman" w:hAnsi="Times New Roman"/>
          <w:sz w:val="24"/>
          <w:szCs w:val="24"/>
        </w:rPr>
        <w:t>Цвылёвском</w:t>
      </w:r>
      <w:proofErr w:type="spellEnd"/>
      <w:r w:rsidRPr="00F06F06">
        <w:rPr>
          <w:rFonts w:ascii="Times New Roman" w:hAnsi="Times New Roman"/>
          <w:sz w:val="24"/>
          <w:szCs w:val="24"/>
        </w:rPr>
        <w:t xml:space="preserve"> сельских поселениях на сумму 3,5 млн руб., из них в одном доме строительные работы, по остальным проектирование.</w:t>
      </w:r>
    </w:p>
    <w:p w:rsidR="00D46E77" w:rsidRPr="00F06F06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F06F0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F06F06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F06F06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lastRenderedPageBreak/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F06F0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F06F0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Мероприятия, направленные на </w:t>
      </w:r>
      <w:r w:rsidR="00CD09C2" w:rsidRPr="00F06F06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F06F06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F06F06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F06F06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F06F06">
        <w:rPr>
          <w:rFonts w:ascii="Times New Roman" w:hAnsi="Times New Roman"/>
          <w:sz w:val="24"/>
          <w:szCs w:val="24"/>
        </w:rPr>
        <w:t>закупках.</w:t>
      </w:r>
    </w:p>
    <w:p w:rsidR="009517AD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9517AD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F06F06">
        <w:rPr>
          <w:rFonts w:ascii="Times New Roman" w:hAnsi="Times New Roman"/>
          <w:sz w:val="24"/>
          <w:szCs w:val="24"/>
        </w:rPr>
        <w:t>муниципальными заказчиками в 2023 году осуществлены закупки у субъектов малого предпринимательства в объёме 49,63% совокупного годового объёма закупок.</w:t>
      </w:r>
    </w:p>
    <w:p w:rsidR="00593F4A" w:rsidRPr="00F06F06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F06F06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1. </w:t>
      </w:r>
      <w:r w:rsidR="00360B44" w:rsidRPr="00F06F06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F06F06">
        <w:rPr>
          <w:rFonts w:ascii="Times New Roman" w:hAnsi="Times New Roman"/>
          <w:sz w:val="24"/>
          <w:szCs w:val="24"/>
        </w:rPr>
        <w:t>ё</w:t>
      </w:r>
      <w:r w:rsidR="00360B44" w:rsidRPr="00F06F06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F06F06">
        <w:rPr>
          <w:rFonts w:ascii="Times New Roman" w:hAnsi="Times New Roman"/>
          <w:sz w:val="24"/>
          <w:szCs w:val="24"/>
        </w:rPr>
        <w:t>.</w:t>
      </w:r>
    </w:p>
    <w:p w:rsidR="00D9264B" w:rsidRPr="00F06F06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  </w:t>
      </w:r>
      <w:r w:rsidRPr="00F06F06">
        <w:rPr>
          <w:rFonts w:ascii="Times New Roman" w:hAnsi="Times New Roman"/>
          <w:sz w:val="24"/>
          <w:szCs w:val="24"/>
        </w:rPr>
        <w:br/>
      </w:r>
      <w:r w:rsidRPr="00F06F06">
        <w:rPr>
          <w:rFonts w:ascii="Times New Roman" w:hAnsi="Times New Roman"/>
          <w:sz w:val="24"/>
          <w:szCs w:val="24"/>
        </w:rPr>
        <w:br/>
      </w:r>
      <w:r w:rsidR="00D9264B" w:rsidRPr="00F06F06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F06F0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ЗАО «СП Андреевское»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F06F0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="00CD09C2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CD09C2" w:rsidRPr="00F06F0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t>По статистическим данным объём отгруженных товаров и выполненных работ за 2023 год составил 1 024,7 млн руб., в сопоставимых ценах к АППГ – 94,7%.</w:t>
      </w:r>
      <w:r w:rsidR="00CD09C2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05ABD" w:rsidRPr="00F06F06" w:rsidRDefault="00B05ABD" w:rsidP="00B05A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рамках, выполняемых госполномочий по поддержке малых форм хозяйствования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получают 43 человека. Сумма выплаченных субсидий составила 2525,4 тыс. рублей. </w:t>
      </w:r>
    </w:p>
    <w:p w:rsidR="003451F7" w:rsidRPr="00F06F06" w:rsidRDefault="00B05ABD" w:rsidP="00B05AB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lastRenderedPageBreak/>
        <w:tab/>
        <w:t xml:space="preserve"> За 2023 год на поддержку малых форм хозяйствования Муниципальным фондом поддержки сельского развития выдано 14 займов на сумму 3,9 млн рублей.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F97755" w:rsidRPr="00F06F06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5,130 млн рублей.  </w:t>
      </w:r>
    </w:p>
    <w:p w:rsidR="002170BE" w:rsidRPr="00F06F06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F06F0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1.</w:t>
      </w:r>
      <w:r w:rsidR="00CD09C2" w:rsidRPr="00F06F06">
        <w:rPr>
          <w:rFonts w:ascii="Times New Roman" w:hAnsi="Times New Roman"/>
        </w:rPr>
        <w:t xml:space="preserve"> </w:t>
      </w:r>
      <w:r w:rsidR="00CD09C2" w:rsidRPr="00F06F06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F06F06">
        <w:rPr>
          <w:rFonts w:ascii="Times New Roman" w:hAnsi="Times New Roman"/>
          <w:sz w:val="24"/>
          <w:szCs w:val="24"/>
        </w:rPr>
        <w:t>;</w:t>
      </w:r>
    </w:p>
    <w:p w:rsidR="00D9264B" w:rsidRPr="00F06F0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2. </w:t>
      </w:r>
      <w:r w:rsidR="00CD09C2" w:rsidRPr="00F06F06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F06F06">
        <w:rPr>
          <w:rFonts w:ascii="Times New Roman" w:hAnsi="Times New Roman"/>
          <w:sz w:val="24"/>
          <w:szCs w:val="24"/>
        </w:rPr>
        <w:t>;</w:t>
      </w:r>
      <w:r w:rsidR="004E029E" w:rsidRPr="00F06F06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F06F06">
        <w:rPr>
          <w:rFonts w:ascii="Times New Roman" w:hAnsi="Times New Roman"/>
          <w:sz w:val="24"/>
          <w:szCs w:val="24"/>
        </w:rPr>
        <w:t>.</w:t>
      </w:r>
    </w:p>
    <w:p w:rsidR="006610E5" w:rsidRPr="00F06F06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бытовых услуг и общественного питания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819 предприяти</w:t>
      </w:r>
      <w:r w:rsidR="00DD23A7" w:rsidRPr="00F06F06">
        <w:rPr>
          <w:rFonts w:ascii="Times New Roman" w:hAnsi="Times New Roman"/>
          <w:sz w:val="24"/>
          <w:szCs w:val="24"/>
        </w:rPr>
        <w:t>й</w:t>
      </w:r>
      <w:r w:rsidRPr="00F06F06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i/>
          <w:sz w:val="24"/>
          <w:szCs w:val="24"/>
          <w:u w:val="single"/>
        </w:rPr>
        <w:t>- Предприятия розничной и оптовой торговли - 62</w:t>
      </w:r>
      <w:r w:rsidR="00DD23A7" w:rsidRPr="00F06F06">
        <w:rPr>
          <w:rFonts w:ascii="Times New Roman" w:hAnsi="Times New Roman"/>
          <w:i/>
          <w:sz w:val="24"/>
          <w:szCs w:val="24"/>
          <w:u w:val="single"/>
        </w:rPr>
        <w:t>4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6F06">
        <w:rPr>
          <w:rFonts w:ascii="Times New Roman" w:hAnsi="Times New Roman"/>
          <w:sz w:val="24"/>
          <w:szCs w:val="24"/>
        </w:rPr>
        <w:t xml:space="preserve">- 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>Предприятия общественного питания – 87;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F06F06">
        <w:rPr>
          <w:rFonts w:ascii="Times New Roman" w:hAnsi="Times New Roman"/>
          <w:sz w:val="24"/>
          <w:szCs w:val="24"/>
        </w:rPr>
        <w:t xml:space="preserve"> – 10</w:t>
      </w:r>
      <w:r w:rsidR="00DD23A7" w:rsidRPr="00F06F06">
        <w:rPr>
          <w:rFonts w:ascii="Times New Roman" w:hAnsi="Times New Roman"/>
          <w:sz w:val="24"/>
          <w:szCs w:val="24"/>
        </w:rPr>
        <w:t>8</w:t>
      </w:r>
      <w:r w:rsidRPr="00F06F06">
        <w:rPr>
          <w:rFonts w:ascii="Times New Roman" w:hAnsi="Times New Roman"/>
          <w:sz w:val="24"/>
          <w:szCs w:val="24"/>
        </w:rPr>
        <w:t>.</w:t>
      </w:r>
    </w:p>
    <w:p w:rsidR="00E91773" w:rsidRPr="00F06F06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1412, 1кв.м (249,8%) на 1 тыс. жителей, что в 2,5 раза больше нормативного, посадочные места в предприятиях общественного питания составляет 68</w:t>
      </w:r>
      <w:r w:rsidRPr="00F06F06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(162,5%), что превышает нормативы в 1,6 раза.</w:t>
      </w:r>
      <w:r w:rsidR="00E91773" w:rsidRPr="00F06F06">
        <w:rPr>
          <w:rFonts w:ascii="Times New Roman" w:hAnsi="Times New Roman"/>
          <w:sz w:val="24"/>
          <w:szCs w:val="24"/>
        </w:rPr>
        <w:t xml:space="preserve"> 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За 202</w:t>
      </w:r>
      <w:r w:rsidR="009F14F8" w:rsidRPr="00F06F06">
        <w:rPr>
          <w:rFonts w:ascii="Times New Roman" w:hAnsi="Times New Roman"/>
          <w:sz w:val="24"/>
          <w:szCs w:val="24"/>
        </w:rPr>
        <w:t>3</w:t>
      </w:r>
      <w:r w:rsidRPr="00F06F06">
        <w:rPr>
          <w:rFonts w:ascii="Times New Roman" w:hAnsi="Times New Roman"/>
          <w:sz w:val="24"/>
          <w:szCs w:val="24"/>
        </w:rPr>
        <w:t xml:space="preserve"> год открылось </w:t>
      </w:r>
      <w:r w:rsidR="009F14F8" w:rsidRPr="00F06F06">
        <w:rPr>
          <w:rFonts w:ascii="Times New Roman" w:hAnsi="Times New Roman"/>
          <w:sz w:val="24"/>
          <w:szCs w:val="24"/>
        </w:rPr>
        <w:t>3</w:t>
      </w:r>
      <w:r w:rsidRPr="00F06F06">
        <w:rPr>
          <w:rFonts w:ascii="Times New Roman" w:hAnsi="Times New Roman"/>
          <w:sz w:val="24"/>
          <w:szCs w:val="24"/>
        </w:rPr>
        <w:t xml:space="preserve"> предприятия потребительского рынка.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Данные факты свидетельствуют об удовлетворительном развитии сферы потребительского рынка в Тихвинском районе.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F06F0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F06F0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F06F0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F06F06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F06F06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01-1985-а 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"О проведении процедур оценки регулирующего воздействия проектов нормативных правовых актов и экспертизы нормативных правовых актов администрации </w:t>
      </w:r>
      <w:r w:rsidR="008A7314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области".</w:t>
      </w:r>
    </w:p>
    <w:p w:rsidR="00BB538A" w:rsidRPr="00F06F06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За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B24583" w:rsidRPr="00F06F06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B24583" w:rsidRPr="00F06F06">
        <w:rPr>
          <w:rFonts w:ascii="Times New Roman" w:hAnsi="Times New Roman"/>
          <w:color w:val="000000"/>
          <w:sz w:val="24"/>
          <w:szCs w:val="24"/>
          <w:lang w:eastAsia="en-US"/>
        </w:rPr>
        <w:t>7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8B1ADC" w:rsidRPr="00F06F06">
        <w:rPr>
          <w:rFonts w:ascii="Times New Roman" w:hAnsi="Times New Roman"/>
          <w:sz w:val="24"/>
          <w:szCs w:val="24"/>
        </w:rPr>
        <w:t xml:space="preserve">оценки 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регулирующего воздействия проектов нормативных правовых актов </w:t>
      </w:r>
      <w:r w:rsidR="002E2E29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 </w:t>
      </w:r>
      <w:r w:rsidR="002E2E29" w:rsidRPr="00F06F06">
        <w:rPr>
          <w:rFonts w:ascii="Times New Roman" w:hAnsi="Times New Roman"/>
          <w:sz w:val="24"/>
          <w:szCs w:val="24"/>
        </w:rPr>
        <w:t>2 экспертизы действующих нормативных правовых актов</w:t>
      </w:r>
      <w:r w:rsidR="002E2E29" w:rsidRPr="00F06F06">
        <w:rPr>
          <w:sz w:val="27"/>
          <w:szCs w:val="27"/>
        </w:rPr>
        <w:t xml:space="preserve"> 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F06F0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F06F06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1. 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области.</w:t>
      </w:r>
      <w:bookmarkStart w:id="0" w:name="_GoBack"/>
      <w:bookmarkEnd w:id="0"/>
    </w:p>
    <w:p w:rsidR="003C1BBC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4CEF"/>
    <w:rsid w:val="000A2538"/>
    <w:rsid w:val="000A6D88"/>
    <w:rsid w:val="000A7CB9"/>
    <w:rsid w:val="000E3773"/>
    <w:rsid w:val="000E60DB"/>
    <w:rsid w:val="000E7877"/>
    <w:rsid w:val="00102E89"/>
    <w:rsid w:val="00120912"/>
    <w:rsid w:val="00121FB4"/>
    <w:rsid w:val="001459BC"/>
    <w:rsid w:val="00153EA5"/>
    <w:rsid w:val="00155A03"/>
    <w:rsid w:val="00160E8F"/>
    <w:rsid w:val="001815F7"/>
    <w:rsid w:val="0018212C"/>
    <w:rsid w:val="00184E64"/>
    <w:rsid w:val="00185083"/>
    <w:rsid w:val="00186675"/>
    <w:rsid w:val="001B0510"/>
    <w:rsid w:val="001C6567"/>
    <w:rsid w:val="001D1FF7"/>
    <w:rsid w:val="001E2C63"/>
    <w:rsid w:val="001E2FF0"/>
    <w:rsid w:val="001E5DE7"/>
    <w:rsid w:val="001F45B5"/>
    <w:rsid w:val="001F7696"/>
    <w:rsid w:val="002032D2"/>
    <w:rsid w:val="00206C6C"/>
    <w:rsid w:val="002170BE"/>
    <w:rsid w:val="00223453"/>
    <w:rsid w:val="00233321"/>
    <w:rsid w:val="00234769"/>
    <w:rsid w:val="00237FD0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F681F"/>
    <w:rsid w:val="00401845"/>
    <w:rsid w:val="00421CD8"/>
    <w:rsid w:val="00427FEA"/>
    <w:rsid w:val="00434160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132A4"/>
    <w:rsid w:val="005511C2"/>
    <w:rsid w:val="00556B75"/>
    <w:rsid w:val="00557C3F"/>
    <w:rsid w:val="005865CF"/>
    <w:rsid w:val="00593F4A"/>
    <w:rsid w:val="005C0684"/>
    <w:rsid w:val="005D3463"/>
    <w:rsid w:val="005E1031"/>
    <w:rsid w:val="005E5283"/>
    <w:rsid w:val="005E7CB7"/>
    <w:rsid w:val="006006CE"/>
    <w:rsid w:val="00606474"/>
    <w:rsid w:val="00624908"/>
    <w:rsid w:val="00634C72"/>
    <w:rsid w:val="006460E7"/>
    <w:rsid w:val="006503A5"/>
    <w:rsid w:val="00653495"/>
    <w:rsid w:val="006610E5"/>
    <w:rsid w:val="0066205A"/>
    <w:rsid w:val="00664B07"/>
    <w:rsid w:val="006806F2"/>
    <w:rsid w:val="006A1AE7"/>
    <w:rsid w:val="006B0E53"/>
    <w:rsid w:val="006C0C54"/>
    <w:rsid w:val="006C249B"/>
    <w:rsid w:val="006C3A2B"/>
    <w:rsid w:val="006C7EC6"/>
    <w:rsid w:val="006E62E9"/>
    <w:rsid w:val="00713616"/>
    <w:rsid w:val="0071694A"/>
    <w:rsid w:val="00735A15"/>
    <w:rsid w:val="00736695"/>
    <w:rsid w:val="00740442"/>
    <w:rsid w:val="00742AC9"/>
    <w:rsid w:val="00750AD0"/>
    <w:rsid w:val="00775674"/>
    <w:rsid w:val="007802DD"/>
    <w:rsid w:val="00793146"/>
    <w:rsid w:val="007B05EE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563F"/>
    <w:rsid w:val="0084186A"/>
    <w:rsid w:val="008432D8"/>
    <w:rsid w:val="00857565"/>
    <w:rsid w:val="008614F8"/>
    <w:rsid w:val="008641FF"/>
    <w:rsid w:val="00883367"/>
    <w:rsid w:val="00884256"/>
    <w:rsid w:val="008A32D6"/>
    <w:rsid w:val="008A7042"/>
    <w:rsid w:val="008A7314"/>
    <w:rsid w:val="008B1ADC"/>
    <w:rsid w:val="008B1BBA"/>
    <w:rsid w:val="008B211A"/>
    <w:rsid w:val="008D06BF"/>
    <w:rsid w:val="008D53AC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94491"/>
    <w:rsid w:val="009A35CF"/>
    <w:rsid w:val="009C2382"/>
    <w:rsid w:val="009E14A3"/>
    <w:rsid w:val="009E25AB"/>
    <w:rsid w:val="009F14F8"/>
    <w:rsid w:val="009F2330"/>
    <w:rsid w:val="009F53A4"/>
    <w:rsid w:val="009F7C8F"/>
    <w:rsid w:val="00A001A4"/>
    <w:rsid w:val="00A059BE"/>
    <w:rsid w:val="00A2202D"/>
    <w:rsid w:val="00A47B88"/>
    <w:rsid w:val="00A60FD7"/>
    <w:rsid w:val="00A62F73"/>
    <w:rsid w:val="00A639B1"/>
    <w:rsid w:val="00A709D6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4583"/>
    <w:rsid w:val="00B50D94"/>
    <w:rsid w:val="00B73E35"/>
    <w:rsid w:val="00B75BEA"/>
    <w:rsid w:val="00B82411"/>
    <w:rsid w:val="00B8517A"/>
    <w:rsid w:val="00BB538A"/>
    <w:rsid w:val="00BB5B62"/>
    <w:rsid w:val="00BF7541"/>
    <w:rsid w:val="00C036E3"/>
    <w:rsid w:val="00C04284"/>
    <w:rsid w:val="00C055C7"/>
    <w:rsid w:val="00C135E0"/>
    <w:rsid w:val="00C15A21"/>
    <w:rsid w:val="00C22E35"/>
    <w:rsid w:val="00C2760E"/>
    <w:rsid w:val="00C364B1"/>
    <w:rsid w:val="00C43A63"/>
    <w:rsid w:val="00C53951"/>
    <w:rsid w:val="00C6653D"/>
    <w:rsid w:val="00C76B48"/>
    <w:rsid w:val="00C8620F"/>
    <w:rsid w:val="00C8708C"/>
    <w:rsid w:val="00C95E6B"/>
    <w:rsid w:val="00C9632E"/>
    <w:rsid w:val="00CB210A"/>
    <w:rsid w:val="00CB4F7E"/>
    <w:rsid w:val="00CB6BBF"/>
    <w:rsid w:val="00CD09C2"/>
    <w:rsid w:val="00D02BF3"/>
    <w:rsid w:val="00D12524"/>
    <w:rsid w:val="00D218E1"/>
    <w:rsid w:val="00D32500"/>
    <w:rsid w:val="00D4042A"/>
    <w:rsid w:val="00D46E77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E00633"/>
    <w:rsid w:val="00E01386"/>
    <w:rsid w:val="00E01D3B"/>
    <w:rsid w:val="00E13E7B"/>
    <w:rsid w:val="00E21BB5"/>
    <w:rsid w:val="00E26AEC"/>
    <w:rsid w:val="00E27C5D"/>
    <w:rsid w:val="00E41D15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4742B"/>
    <w:rsid w:val="00F517F7"/>
    <w:rsid w:val="00F53AAF"/>
    <w:rsid w:val="00F63F61"/>
    <w:rsid w:val="00F72CE9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0405-09D9-4FF0-8886-32F63A11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29</cp:revision>
  <cp:lastPrinted>2024-04-27T07:44:00Z</cp:lastPrinted>
  <dcterms:created xsi:type="dcterms:W3CDTF">2024-04-26T09:40:00Z</dcterms:created>
  <dcterms:modified xsi:type="dcterms:W3CDTF">2024-04-27T09:25:00Z</dcterms:modified>
</cp:coreProperties>
</file>